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E3F1" w14:textId="77777777" w:rsidR="008F3E65" w:rsidRPr="003420E9" w:rsidRDefault="008F3E65" w:rsidP="003420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35092" w14:textId="77777777" w:rsidR="00E531DB" w:rsidRPr="00E531DB" w:rsidRDefault="00E531DB" w:rsidP="00E53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DB">
        <w:rPr>
          <w:rFonts w:ascii="Times New Roman" w:hAnsi="Times New Roman" w:cs="Times New Roman"/>
          <w:b/>
          <w:sz w:val="24"/>
          <w:szCs w:val="24"/>
        </w:rPr>
        <w:t>ELEKTROMIONEUROGRAFIJA (EMNG)</w:t>
      </w:r>
    </w:p>
    <w:p w14:paraId="6B56B778" w14:textId="77777777" w:rsidR="00E531DB" w:rsidRPr="00E531DB" w:rsidRDefault="00E531DB" w:rsidP="00E53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96CE7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Elektromioneurografija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(EMNG)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elektrodijagnostička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ispituje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električna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mišića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nerava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mogućnošću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utvrdjivanja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nivoa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stepena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rasprostranjenosti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lezije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Njome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brzo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potvrditi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klinička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dijagnoza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postaviti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dijagnoza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perifernog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nervnog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nekih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oboljenja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moždanih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nerava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nervus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facialis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moguća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eksploracija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analnog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uretralnog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sfinktera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oboljenja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kičmenih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sakralnih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korenova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pudendalnim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nervima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inervišu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pomenute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sfinktere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6263D2ED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kliničkoj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primjene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EMNG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neophodan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detaljan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klinički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neurološki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a po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neuroradioloških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radiografija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magnetna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rezonanca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skener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dr.).</w:t>
      </w:r>
    </w:p>
    <w:p w14:paraId="2A9FB56D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Elektromiografija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(EMG)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elektroneurografija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(ENG) - EMNG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važna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komplementarna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kliničkom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ispitivanju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nervnog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suverena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praktično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neuromišićnih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Primjenjuje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:</w:t>
      </w:r>
    </w:p>
    <w:p w14:paraId="4BFFDC95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Detekciona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elektromiografija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(EMG) -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ispitivanje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električne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mišića</w:t>
      </w:r>
      <w:proofErr w:type="spellEnd"/>
    </w:p>
    <w:p w14:paraId="31BE0CA2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>-</w:t>
      </w:r>
      <w:r w:rsidR="008F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E65">
        <w:rPr>
          <w:rFonts w:ascii="Times New Roman" w:hAnsi="Times New Roman" w:cs="Times New Roman"/>
          <w:sz w:val="24"/>
          <w:szCs w:val="24"/>
        </w:rPr>
        <w:t>Stimulaciona</w:t>
      </w:r>
      <w:proofErr w:type="spellEnd"/>
      <w:r w:rsidR="008F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E65">
        <w:rPr>
          <w:rFonts w:ascii="Times New Roman" w:hAnsi="Times New Roman" w:cs="Times New Roman"/>
          <w:sz w:val="24"/>
          <w:szCs w:val="24"/>
        </w:rPr>
        <w:t>elektromiografija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elektroneurografija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(ENG) -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mjerenje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brzine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provodljivosti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perifernih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nerava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mogućnošću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nekih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refleksoloških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H-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refleks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Blink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refleks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F-talas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).</w:t>
      </w:r>
    </w:p>
    <w:p w14:paraId="62F767C9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5680E" w14:textId="77777777" w:rsidR="00E531DB" w:rsidRPr="00E531DB" w:rsidRDefault="00E531DB" w:rsidP="00E531D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b/>
          <w:sz w:val="24"/>
          <w:szCs w:val="24"/>
        </w:rPr>
        <w:t>Indikacije</w:t>
      </w:r>
      <w:proofErr w:type="spellEnd"/>
      <w:r w:rsidRPr="00E531DB">
        <w:rPr>
          <w:rFonts w:ascii="Times New Roman" w:hAnsi="Times New Roman" w:cs="Times New Roman"/>
          <w:b/>
          <w:sz w:val="24"/>
          <w:szCs w:val="24"/>
        </w:rPr>
        <w:t xml:space="preserve"> za EMNG:</w:t>
      </w:r>
    </w:p>
    <w:p w14:paraId="0F85B95B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EMNG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indikovan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sumnje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motornih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oštećenje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nervnih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korijenova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spletova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perifernih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nerava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postojanje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poremećaja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neuromišične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transmisije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mišićna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oboljenja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18248A7D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Dijagnoza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motornih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medju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najpoznatija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amiotrofična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lateralna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skleroza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prvenstveno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klinička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EMNG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neophodan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oboljenja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procjenu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stepena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rasprostranjenosti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4CE19A40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Najčešča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nervnih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korijenova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nastaju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posljedica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pritiska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korijenove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usljed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patologije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kičmenog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stuba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degenerativne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diskus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hernije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tumori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pršljenova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kičmene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moždine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). EMNG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nezaobilizan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dijagnostici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zapaljenja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nervnih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korijenova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perifernih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nerava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radikulitis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poliradikuloneuritis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).</w:t>
      </w:r>
    </w:p>
    <w:p w14:paraId="05E775FA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lastRenderedPageBreak/>
        <w:t>Oštećenja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nervnih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spletova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zapaljenja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povrede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kompresije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takodje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zahtijevaju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neurofiziološku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procjenu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EMNG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precizno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lokalizuje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oštećenje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odeđeni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nervnog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spleta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1BA59A71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perifernih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nerava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neuropatije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polineuropatije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obuhvataju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veliku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grupu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metabolički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uslovljenih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poremećaja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dijabetična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polineuropatija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toksičnih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polineuropatija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toksini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ljekovi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neuropatija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deficita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vitamina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usljed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nedostatka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ishrani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poremećaja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resorpcije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zapaljenskih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neuropatija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neuropatija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sklopu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sistemskih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sistemski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lupus,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reumatoidni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artritis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genetski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uslovljenih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neuropatija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EMNG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neophodan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evaluaciji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neuropatija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stepenu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rasprostranjenosti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aktuelnosti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tipu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dominantno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zahvaćenih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nervnih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vlakana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strukture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nerava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trpe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najveća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Klinički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neurofiziolog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ukaže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najvjerovatniji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uzrok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polineuropatije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doprinese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adekvatnom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usmjeravanju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kliničke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evaluacije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EMNG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takodje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indikovan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sumnje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fokalna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perifernih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nerava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usljed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pritiska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nerv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kompresivne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neuropatije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najčešća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carpal tunnel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perifernih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nerava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ljekarima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dragocjene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stepenu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EMNG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presudni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liječenje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prognozu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oporavka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3B229161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neuromisićne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spojnice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medju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najčešća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mijastenija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gravis,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zahtijevaju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klasičan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neuromišićne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transmisije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osjetljiviji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test -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mjerenje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neuromišićnog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jitter-a.</w:t>
      </w:r>
    </w:p>
    <w:p w14:paraId="38301626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primarna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oboljenja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mišića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miopatije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sklopu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sistemskih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endokrinoloških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poremećaja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zapaljenske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miopatije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nasljedne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miopatije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mišićne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distrofije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takodje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dijagnostikuju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EMNG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27CE7677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Pored toga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dijagnostičku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neurofiziološku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metodu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EMNG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prognostička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pratiti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oporavak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pacijenta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predvidjeti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orijentacioni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ishod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povrede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36A371B9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E8C6A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b/>
          <w:sz w:val="24"/>
          <w:szCs w:val="24"/>
        </w:rPr>
        <w:t>Kako</w:t>
      </w:r>
      <w:proofErr w:type="spellEnd"/>
      <w:r w:rsidRPr="00E53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b/>
          <w:sz w:val="24"/>
          <w:szCs w:val="24"/>
        </w:rPr>
        <w:t>izgleda</w:t>
      </w:r>
      <w:proofErr w:type="spellEnd"/>
      <w:r w:rsidRPr="00E531DB">
        <w:rPr>
          <w:rFonts w:ascii="Times New Roman" w:hAnsi="Times New Roman" w:cs="Times New Roman"/>
          <w:b/>
          <w:sz w:val="24"/>
          <w:szCs w:val="24"/>
        </w:rPr>
        <w:t xml:space="preserve"> EMNG </w:t>
      </w:r>
      <w:proofErr w:type="spellStart"/>
      <w:r w:rsidRPr="00E531DB">
        <w:rPr>
          <w:rFonts w:ascii="Times New Roman" w:hAnsi="Times New Roman" w:cs="Times New Roman"/>
          <w:b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b/>
          <w:sz w:val="24"/>
          <w:szCs w:val="24"/>
        </w:rPr>
        <w:t>?</w:t>
      </w:r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D9FEA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anestezije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bolan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saradnja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pacijentom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od 20 do 30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neprijatan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Ispitivanje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tehnološki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kompjuterizovanim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aparatima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obično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ispituje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provodljivost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perifernih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nerava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motornih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senzitivnih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ispitivanje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perkutanim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elektrodama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kožu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ispitivanje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mišića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pravilu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sterilne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iglene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elektrode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ispitivanih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nerava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mišića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zavisi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kliničke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dijagnoze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179CB2F2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uzrastima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(od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samog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rođenja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pacijent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poželjno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7189A6B5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62193" w14:textId="77777777" w:rsidR="00E531DB" w:rsidRDefault="00E531DB" w:rsidP="00E531DB">
      <w:pPr>
        <w:rPr>
          <w:rFonts w:ascii="Times New Roman" w:hAnsi="Times New Roman" w:cs="Times New Roman"/>
          <w:b/>
          <w:sz w:val="24"/>
          <w:szCs w:val="24"/>
        </w:rPr>
      </w:pPr>
    </w:p>
    <w:p w14:paraId="1D52DCD2" w14:textId="77777777" w:rsidR="00E531DB" w:rsidRPr="00E531DB" w:rsidRDefault="00E531DB" w:rsidP="00E531DB">
      <w:pPr>
        <w:rPr>
          <w:rFonts w:ascii="Times New Roman" w:hAnsi="Times New Roman" w:cs="Times New Roman"/>
          <w:b/>
          <w:sz w:val="24"/>
          <w:szCs w:val="24"/>
        </w:rPr>
      </w:pPr>
    </w:p>
    <w:p w14:paraId="0EEE24A8" w14:textId="77777777" w:rsidR="00E531DB" w:rsidRPr="00E531DB" w:rsidRDefault="00E531DB" w:rsidP="00E53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DB">
        <w:rPr>
          <w:rFonts w:ascii="Times New Roman" w:hAnsi="Times New Roman" w:cs="Times New Roman"/>
          <w:b/>
          <w:sz w:val="24"/>
          <w:szCs w:val="24"/>
        </w:rPr>
        <w:t>DOPPLER KRVNIH SUDOVA VRATA</w:t>
      </w:r>
    </w:p>
    <w:p w14:paraId="6100F5A1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C0EF5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Kolor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dopler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krvnih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sudova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neinvazinu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neškodljivu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bezbolnu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ultrazvučnu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metodu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primjenom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Doppler-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efekta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precizan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ispituje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arterijskih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venskih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sudova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protok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2136B54E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6452E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INDIKACIJE / ZAŠTO SE </w:t>
      </w:r>
      <w:proofErr w:type="gramStart"/>
      <w:r w:rsidRPr="00E531DB">
        <w:rPr>
          <w:rFonts w:ascii="Times New Roman" w:hAnsi="Times New Roman" w:cs="Times New Roman"/>
          <w:sz w:val="24"/>
          <w:szCs w:val="24"/>
        </w:rPr>
        <w:t>RADI ?</w:t>
      </w:r>
      <w:proofErr w:type="gramEnd"/>
    </w:p>
    <w:p w14:paraId="1928D95E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protoka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izgleda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zida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sudova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karakteristika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sudova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4F27B4F4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bolesnika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sumnjom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suženje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stenozu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začepljenje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okluziju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proširenje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aneurizmu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sudova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4155CB42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37BEB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>KAKO SE IZVODI?</w:t>
      </w:r>
    </w:p>
    <w:p w14:paraId="6A95B126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ležati</w:t>
      </w:r>
      <w:proofErr w:type="spellEnd"/>
    </w:p>
    <w:p w14:paraId="0BB9E349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Ljekar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površinu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ultrazvučne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sonde.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Sonda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plastični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uređaj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šalje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ultrazvučne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talase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ljekar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postaviti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Vaš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vrat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Gel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ulogu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poboljša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provodljivost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ultrazvučnih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talasa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eliminiše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vazduh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sonde.</w:t>
      </w:r>
    </w:p>
    <w:p w14:paraId="7551313F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B33E6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>POTENCIJALNI RIZICI</w:t>
      </w:r>
    </w:p>
    <w:p w14:paraId="6262DBB0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neprijatan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nosi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nikakav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rizik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0592E6AD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8385C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>PRIPREMA</w:t>
      </w:r>
    </w:p>
    <w:p w14:paraId="2387267F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12DCA065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1F665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1DB">
        <w:rPr>
          <w:rFonts w:ascii="Times New Roman" w:hAnsi="Times New Roman" w:cs="Times New Roman"/>
          <w:sz w:val="24"/>
          <w:szCs w:val="24"/>
        </w:rPr>
        <w:lastRenderedPageBreak/>
        <w:t>NAKON  PREGLEDA</w:t>
      </w:r>
      <w:proofErr w:type="gramEnd"/>
    </w:p>
    <w:p w14:paraId="275640E8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vratiti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uobičajenim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</w:p>
    <w:p w14:paraId="3304D14F" w14:textId="77777777" w:rsidR="00E531DB" w:rsidRPr="00E531DB" w:rsidRDefault="00E531DB" w:rsidP="00E531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E930C" w14:textId="77777777" w:rsidR="00E531DB" w:rsidRPr="00E531DB" w:rsidRDefault="00E531DB" w:rsidP="00E53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DB">
        <w:rPr>
          <w:rFonts w:ascii="Times New Roman" w:hAnsi="Times New Roman" w:cs="Times New Roman"/>
          <w:b/>
          <w:sz w:val="24"/>
          <w:szCs w:val="24"/>
        </w:rPr>
        <w:t>SKENER (CT) GLAVE</w:t>
      </w:r>
    </w:p>
    <w:p w14:paraId="27BC1AE9" w14:textId="77777777" w:rsidR="00E531DB" w:rsidRPr="00E531DB" w:rsidRDefault="00E531DB" w:rsidP="00E53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3788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>ŠTA JE SKENER (CT) GLAVE?</w:t>
      </w:r>
    </w:p>
    <w:p w14:paraId="0A9C42E9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Kompjuterizovana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tomografija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(CT)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skenerska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dijagnostika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omogućava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pravljenje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serije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slika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uglova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zraka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 CT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brza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bezbolna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neinvazivna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precizna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Skenerska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dijagnostika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otkrivanja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uzroka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glavobolje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vrtoglavice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procjene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glave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otkrivanja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aneurizme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krvarenja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moždanog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tumora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mozgu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CT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snimka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glave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zračne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terapije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liječenja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tumora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mozga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31DB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hitnim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CT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dijagnostika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značajnu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ulogu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brzom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otkrivanju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krvarenja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mozgu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Cijela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bezbolna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27BFAAB4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48EDB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>ZAŠTO SE PRIMJENJUJE / INDIKACIJE</w:t>
      </w:r>
    </w:p>
    <w:p w14:paraId="6CE97519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CT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glave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otkrivanja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krvarenja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mozgu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povrede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glave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preloma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lobanje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krvarenja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mozgu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nastaje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posledica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pucanja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aneurizme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praćeno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iznenadnim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nastankom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jake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glavobolje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šloga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(koji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posledica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postojanja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ugrušaka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krvarenja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mozgu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tumora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mozga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proširenja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moždanih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komora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hidrocefalus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malformacija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lobanje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533E1E91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CT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glave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procene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opsežnosti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mekog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tkiva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planiranja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hirurške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rekonstrukcije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otkrivanja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slepoočne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dovesti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sluhom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otkrivanja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upale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promena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paranazalnim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sinusima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;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planiranja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zračne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terapije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biopsije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mozga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11277C77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EA843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>KAKO SE IZVODI?</w:t>
      </w:r>
    </w:p>
    <w:p w14:paraId="22E9F3AC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Mašina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skenersku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dijagnostiku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mašina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krofne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čija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otvorena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ležaćete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krevetu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pomjera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mašini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fiksiranja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glave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omogućavanja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stabilnog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položaja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podloga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jastuk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0435E574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ležite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pomjera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mašini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mašina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rotira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Vas.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rotacija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mašine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omogućava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pravljenje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slike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uglova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prikaz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presjeka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rotacija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mašine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praćena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određenim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stepenom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buke.</w:t>
      </w:r>
    </w:p>
    <w:p w14:paraId="22B0500F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Zdravstveni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radnik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nalaziti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odvojenoj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prostoriji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pored Vas,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moči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da Vas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čuje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Moći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1DB">
        <w:rPr>
          <w:rFonts w:ascii="Times New Roman" w:hAnsi="Times New Roman" w:cs="Times New Roman"/>
          <w:sz w:val="24"/>
          <w:szCs w:val="24"/>
        </w:rPr>
        <w:t xml:space="preserve">da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komunicirate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zdravstvenim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radnikom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FC1CC6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8C327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>POTENCIJALNI RIZICI</w:t>
      </w:r>
    </w:p>
    <w:p w14:paraId="7693863B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CT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skenerskog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bićete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određenoj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izloženi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zračenju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klasičnog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rentgenskog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skenerskim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snimanjem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dobijaju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detaljnije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zračenja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kojom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izloženi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dovodi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ozbiljnih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komplikacija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14918830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Obavijestite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ljekara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trudni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zračenje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oštetiti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plod.</w:t>
      </w:r>
    </w:p>
    <w:p w14:paraId="2E224B91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Kontrastno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CT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skenerskog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izazvati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alergijsku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rekaciju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neželjene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reakcije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dolazi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blagih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alergijskih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reakcija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manifestuju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svrab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crvenilo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Obavijestite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osoblje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poznatu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alergijsku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reakciju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kontrastno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4B9C101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E4092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>PRIPREMA</w:t>
      </w:r>
    </w:p>
    <w:p w14:paraId="2A6FE899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dozvoljeno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nosite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metalne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predmete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kaiš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nakit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naočare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vid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protezu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223AFAF8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Ne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smijete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jesti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sati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skenerskog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4BBAB736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poznatu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alergiju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jodno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kontrastno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1DB">
        <w:rPr>
          <w:rFonts w:ascii="Times New Roman" w:hAnsi="Times New Roman" w:cs="Times New Roman"/>
          <w:sz w:val="24"/>
          <w:szCs w:val="24"/>
        </w:rPr>
        <w:t>je  da</w:t>
      </w:r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obavijestite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medicinsko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osoblje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Obavijestite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medicinsko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osoblje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alergiju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ljekove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hranu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Obavijestite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ljekara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neku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bolest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srca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astmu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šećernu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bolest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bolest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bubrega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štitastom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žlijezdom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Ove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povećavaju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rizik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1DB">
        <w:rPr>
          <w:rFonts w:ascii="Times New Roman" w:hAnsi="Times New Roman" w:cs="Times New Roman"/>
          <w:sz w:val="24"/>
          <w:szCs w:val="24"/>
        </w:rPr>
        <w:t xml:space="preserve">od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nastanka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neželjenih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efekata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procedure.</w:t>
      </w:r>
    </w:p>
    <w:p w14:paraId="55137885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trudni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sumnjate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trudni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obavijestite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medicinsko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osoblje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dojite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1DB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vreme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CT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da od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ljekara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dobijete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instrukcije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nastavku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dojenja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Preporučuje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da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izmuzete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imalo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mlijeko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taj dan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dojenje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nastavite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kontrastni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izluči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organizma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dešava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dozvoljeno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nosite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metalne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predmete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kaiš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nakit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naočare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vid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protezu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6703615A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Ne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smijete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jesti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sati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skenerskog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07BAAE23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planira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snimanje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sudova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kontrastnog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venu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intravenski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izazvati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osjećaj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topline koji se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širi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metalni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ukus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ustima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;</w:t>
      </w:r>
    </w:p>
    <w:p w14:paraId="1FB73288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CT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skenerskog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ljekova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smirenje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sedativa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mirno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Pokreti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dovesti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stvaranja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mutnih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slika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netačni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521A5FA0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35D42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>NAKON SNIMANJA</w:t>
      </w:r>
    </w:p>
    <w:p w14:paraId="3FAD888A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vratiti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uobičajenim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7F5BEE9F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kontrastno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pijete</w:t>
      </w:r>
      <w:proofErr w:type="spellEnd"/>
      <w:proofErr w:type="gram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dosta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tečnosti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kontrastno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izlučilo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organizma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04DE3776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25A58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0CFD0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14357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14636" w14:textId="77777777" w:rsid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F44C8" w14:textId="77777777" w:rsid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E8B37" w14:textId="77777777" w:rsid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F9FA8" w14:textId="77777777" w:rsid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CF8B4" w14:textId="77777777" w:rsid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DD0DC" w14:textId="77777777" w:rsid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235A2" w14:textId="77777777" w:rsid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033B0" w14:textId="77777777" w:rsid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BA461" w14:textId="77777777" w:rsid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DF4FA" w14:textId="77777777" w:rsid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C0F8F" w14:textId="77777777" w:rsid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DBACA" w14:textId="77777777" w:rsid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3A90F" w14:textId="77777777" w:rsid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9577A" w14:textId="77777777" w:rsid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DB18C" w14:textId="77777777" w:rsid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1139D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A3A03" w14:textId="77777777" w:rsidR="00E531DB" w:rsidRPr="00E531DB" w:rsidRDefault="00E531DB" w:rsidP="00E53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DB">
        <w:rPr>
          <w:rFonts w:ascii="Times New Roman" w:hAnsi="Times New Roman" w:cs="Times New Roman"/>
          <w:b/>
          <w:sz w:val="24"/>
          <w:szCs w:val="24"/>
        </w:rPr>
        <w:t>MAGNETNA REZONANCA (MRI) GLAVE I KIČME</w:t>
      </w:r>
    </w:p>
    <w:p w14:paraId="1C9065FA" w14:textId="77777777" w:rsidR="00E531DB" w:rsidRPr="00E531DB" w:rsidRDefault="00E531DB" w:rsidP="00E53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4D60C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Magnetna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rezonanca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neinvazivna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precizna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dijagnostička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konkretnu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sliku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zdravlju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pojedinih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organa,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organskih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čitavog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organizma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Bezbolna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neškodljiva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pacijente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pa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ponavljati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puta. Na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liječenja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najefikasnija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terapija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50B48D55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EE333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principu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aparati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MR?</w:t>
      </w:r>
    </w:p>
    <w:p w14:paraId="1F7EF5E5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uređaji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signale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potiču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jezgara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vodonika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protona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molekulama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ljudskog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postavljeno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snažno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homogeno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magnetno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polje.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Magnetno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polje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označava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jedinicom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tesla (T).</w:t>
      </w:r>
    </w:p>
    <w:p w14:paraId="64AC07EA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tipa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aparata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magnetnu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rezonancu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Otvoreni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permanentne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magnete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zatvoreni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služe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magnetnim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poljem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uspostavlja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električnom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energijom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Zatvoreni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aparati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jačeg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polja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uglavnom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od 0,5 do 3 T (Tesla)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traju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kraće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36B87EEA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9A7DB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izgleda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?</w:t>
      </w:r>
    </w:p>
    <w:p w14:paraId="44D95606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Magnetna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rezonanca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jonizujućeg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zračenja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bezbolna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neškodljiva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ponekad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blago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neugodna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Naime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mnogim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izlože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smeta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jak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pulsirajući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zvuk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neprijatan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podnošljiv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Problem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dužina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15-45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pacijent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praktično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mora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nepomičan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60C5F95F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precizne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dijagnostike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ponekad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aplikovati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paramagnetno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kontrastno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Gadolinijum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potencijal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izazove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alergijsku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reakciju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praktično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zanemarljiv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Procenu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aplikuje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paramagnetni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kontrast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ordinirajući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ljekar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radiolog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25FC9F82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00A94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MRI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grupacija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?</w:t>
      </w:r>
    </w:p>
    <w:p w14:paraId="3622AD21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briga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trudnica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dokazano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štetno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samog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MR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kontrast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metal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gadolinijum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prolazi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placentu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plod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sumnja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lastRenderedPageBreak/>
        <w:t>ga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oštetiti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Stoga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trudnoće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napomenuti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6B588AE6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Dojenje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kontraindikacija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MR-om,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kontrast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savetuje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stopiranje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dojenja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naredna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24h.</w:t>
      </w:r>
    </w:p>
    <w:p w14:paraId="3ED5976F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F5D29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Bitna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!</w:t>
      </w:r>
    </w:p>
    <w:p w14:paraId="0545AD96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r w:rsidRPr="00E531D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prostoriju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aparatom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smiju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unositi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predmeti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magnetnog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to,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smiju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ući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baš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Pacijenti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pejsmejkorom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metalnim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stranim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blizini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velikih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sudova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glavi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pacijenti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operisanim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moždanim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aneurizmama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starog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tipa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metalnih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štipaljki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pacijenti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vještačkim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zaliscima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srca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pumpama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insulinskim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ući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magnet.</w:t>
      </w:r>
    </w:p>
    <w:p w14:paraId="5D21161A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Naime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ekspanzija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aparata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magnetnu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rezonancu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modernoj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medicini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natjerala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proizvođače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raznih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implantata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pumpi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pomagala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, koji se “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ugrađuju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”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pacijente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prestanu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metal. Danas se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takve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štipaljke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zavrtnji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ploče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šipke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endoproteze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vještački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zalisci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izrađuju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posljedica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izložen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MRI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aparatu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poneki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uzrokuju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artefakte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smanjuju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dobijenih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snimaka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5959CFA4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Zubni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implanti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plombe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kontraindikaciju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vid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!</w:t>
      </w:r>
    </w:p>
    <w:p w14:paraId="657FAB81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Magnetna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rezonanca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precizne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mekotkivnih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mozak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kičmena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moždina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stomaka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male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karlice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pluća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pristupačne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realan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anatomski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prikaz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regije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lokalizaciju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lezije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žarišta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njoj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6DE36766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2B7B4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magnetnu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rezonancu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?</w:t>
      </w:r>
    </w:p>
    <w:p w14:paraId="2B4E53C7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Magnetnu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rezonacu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mozga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sudova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mozga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sudova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tegobe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sumnjive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moždani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udar-moždani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infarkt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moždano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krvarenje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česte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glavobolje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vrtoglavice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nestabilnosti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trnjenja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ruku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nogu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epileptičke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napade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krize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svijesti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nagle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nejasne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poremećaje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sluha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čula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mirisa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poremećaja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koncentracije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pamćenja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glave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tegobe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povećanim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rizikom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oboljevanje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urođenih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anomalija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oboljenjima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porodici-aneurizmatskih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proširenja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nekih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vaskularnih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malformata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tumora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mozga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76F0B588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Magnetnu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rezonancu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vratnog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segmenta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kičmenog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stuba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bolove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ukočenost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vratnoj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regiji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nejasna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trnjenja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ruku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vrtoglavice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trauma,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sumnji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oboljenja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kičmene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moždine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0B71241C" w14:textId="77777777" w:rsidR="00E531DB" w:rsidRPr="00E531DB" w:rsidRDefault="00E531DB" w:rsidP="00E531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lastRenderedPageBreak/>
        <w:t>Magnetnu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rezonancu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torakalnog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segmenta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kičmenog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stuba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srednjem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segmentu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kičme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lopatica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nejasnih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oduzetosti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ruku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nogu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ispada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senzibilitetu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dokazane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osteoporoze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nastalog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naglog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usljed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banalnog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pokreta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dokazanih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malignih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oboljenja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precizne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detekcije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metastaza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sumnjivih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oboljenja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kičmene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moždine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urođenih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vaskularnih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anomalija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spinalnom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kanalu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0E8309D6" w14:textId="77777777" w:rsidR="00E531DB" w:rsidRPr="00E531DB" w:rsidRDefault="00E531DB" w:rsidP="00E531D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Magnetnu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rezonancu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repnog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lumbosakralnog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segmenta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kičmenog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stuba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toj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regiji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projekciju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nogu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preponu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trnjenje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nogu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povredu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dokazanu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osteoporozu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naglo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nastali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jak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malignih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oboljenja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detekcije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metastaza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karcinoma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prostate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muškaraca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ginekoloških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karcionoma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karcinoma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dojki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karcinoma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debelog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crijeva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opštoj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DB">
        <w:rPr>
          <w:rFonts w:ascii="Times New Roman" w:hAnsi="Times New Roman" w:cs="Times New Roman"/>
          <w:sz w:val="24"/>
          <w:szCs w:val="24"/>
        </w:rPr>
        <w:t>populaciji</w:t>
      </w:r>
      <w:proofErr w:type="spellEnd"/>
      <w:r w:rsidRPr="00E531DB">
        <w:rPr>
          <w:rFonts w:ascii="Times New Roman" w:hAnsi="Times New Roman" w:cs="Times New Roman"/>
          <w:sz w:val="24"/>
          <w:szCs w:val="24"/>
        </w:rPr>
        <w:t>.</w:t>
      </w:r>
    </w:p>
    <w:p w14:paraId="541D0B0B" w14:textId="77777777" w:rsidR="00834D7C" w:rsidRPr="00834D7C" w:rsidRDefault="00834D7C" w:rsidP="00A048F0">
      <w:pPr>
        <w:spacing w:after="100" w:afterAutospacing="1" w:line="240" w:lineRule="auto"/>
        <w:jc w:val="center"/>
        <w:rPr>
          <w:rFonts w:ascii="hk_groteskregular" w:eastAsia="Times New Roman" w:hAnsi="hk_groteskregular" w:cs="Times New Roman"/>
          <w:color w:val="4C4C4C"/>
          <w:sz w:val="27"/>
          <w:szCs w:val="27"/>
        </w:rPr>
      </w:pPr>
    </w:p>
    <w:sectPr w:rsidR="00834D7C" w:rsidRPr="00834D7C" w:rsidSect="003F56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_grotesk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2ED"/>
    <w:multiLevelType w:val="multilevel"/>
    <w:tmpl w:val="52E4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7704B"/>
    <w:multiLevelType w:val="multilevel"/>
    <w:tmpl w:val="8AF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A763E"/>
    <w:multiLevelType w:val="hybridMultilevel"/>
    <w:tmpl w:val="0E60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245A3"/>
    <w:multiLevelType w:val="multilevel"/>
    <w:tmpl w:val="35F4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96581"/>
    <w:multiLevelType w:val="multilevel"/>
    <w:tmpl w:val="C70A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A3DE3"/>
    <w:multiLevelType w:val="multilevel"/>
    <w:tmpl w:val="FAC2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7C"/>
    <w:rsid w:val="000A6D7D"/>
    <w:rsid w:val="001515D9"/>
    <w:rsid w:val="003420E9"/>
    <w:rsid w:val="0038291B"/>
    <w:rsid w:val="003F56C3"/>
    <w:rsid w:val="007219C1"/>
    <w:rsid w:val="00744005"/>
    <w:rsid w:val="007932CA"/>
    <w:rsid w:val="0082105A"/>
    <w:rsid w:val="00834D7C"/>
    <w:rsid w:val="008F3E65"/>
    <w:rsid w:val="00A048F0"/>
    <w:rsid w:val="00AA3317"/>
    <w:rsid w:val="00B10918"/>
    <w:rsid w:val="00E531DB"/>
    <w:rsid w:val="00E8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77A4"/>
  <w15:docId w15:val="{2877560A-A358-43D1-812E-97696737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6C3"/>
  </w:style>
  <w:style w:type="paragraph" w:styleId="Heading2">
    <w:name w:val="heading 2"/>
    <w:basedOn w:val="Normal"/>
    <w:link w:val="Heading2Char"/>
    <w:uiPriority w:val="9"/>
    <w:qFormat/>
    <w:rsid w:val="00834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4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34D7C"/>
    <w:rPr>
      <w:color w:val="0000FF"/>
      <w:u w:val="single"/>
    </w:rPr>
  </w:style>
  <w:style w:type="character" w:customStyle="1" w:styleId="elementor-button-text">
    <w:name w:val="elementor-button-text"/>
    <w:basedOn w:val="DefaultParagraphFont"/>
    <w:rsid w:val="00834D7C"/>
  </w:style>
  <w:style w:type="character" w:customStyle="1" w:styleId="Heading3Char">
    <w:name w:val="Heading 3 Char"/>
    <w:basedOn w:val="DefaultParagraphFont"/>
    <w:link w:val="Heading3"/>
    <w:uiPriority w:val="9"/>
    <w:semiHidden/>
    <w:rsid w:val="00834D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34D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706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Tamara Raicevic</cp:lastModifiedBy>
  <cp:revision>2</cp:revision>
  <dcterms:created xsi:type="dcterms:W3CDTF">2021-05-14T11:33:00Z</dcterms:created>
  <dcterms:modified xsi:type="dcterms:W3CDTF">2021-05-14T11:33:00Z</dcterms:modified>
</cp:coreProperties>
</file>